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255D" w:rsidRDefault="0058255D">
      <w:r>
        <w:rPr>
          <w:b/>
        </w:rPr>
        <w:t>Teaching Note: The Need for Speed at Winner Apparel</w:t>
      </w:r>
    </w:p>
    <w:p w:rsidR="0058255D" w:rsidRDefault="0058255D"/>
    <w:p w:rsidR="00247714" w:rsidRDefault="0089367E">
      <w:r>
        <w:t>The goal of this case is to get students to evaluate the benefits of responsiveness for different product categories</w:t>
      </w:r>
      <w:r w:rsidR="00247714">
        <w:t>.</w:t>
      </w:r>
      <w:r>
        <w:t xml:space="preserve"> Trendy is a product line with higher unpredictability</w:t>
      </w:r>
      <w:r w:rsidR="005F11CD">
        <w:t>,</w:t>
      </w:r>
      <w:r>
        <w:t xml:space="preserve"> while Basic is more predictable. While each of the two product lines may experience a better matching of supply and demand if the responsive supplier were used, the benefits of responsiveness </w:t>
      </w:r>
      <w:r w:rsidR="0000185F">
        <w:t>are</w:t>
      </w:r>
      <w:r>
        <w:t xml:space="preserve"> different in the two cases. Thus, it is important to quantify the impact of using a responsive supplier</w:t>
      </w:r>
      <w:r w:rsidR="0000185F">
        <w:t xml:space="preserve"> in each case</w:t>
      </w:r>
      <w:r>
        <w:t>.</w:t>
      </w:r>
    </w:p>
    <w:p w:rsidR="00493D79" w:rsidRDefault="0089367E">
      <w:r>
        <w:rPr>
          <w:i/>
        </w:rPr>
        <w:t xml:space="preserve">Financial Performance with the </w:t>
      </w:r>
      <w:r w:rsidR="005F11CD">
        <w:rPr>
          <w:i/>
        </w:rPr>
        <w:t>Low-</w:t>
      </w:r>
      <w:r>
        <w:rPr>
          <w:i/>
        </w:rPr>
        <w:t>Cost Supplier</w:t>
      </w:r>
    </w:p>
    <w:p w:rsidR="00A002D1" w:rsidRDefault="0089367E">
      <w:r>
        <w:t xml:space="preserve">With the </w:t>
      </w:r>
      <w:r w:rsidR="00A24D3B">
        <w:t>low-</w:t>
      </w:r>
      <w:r>
        <w:t>cost supplier, the buyers at Winner have to place a single order before the start of the sales season. The optimal service level (</w:t>
      </w:r>
      <w:r>
        <w:rPr>
          <w:i/>
        </w:rPr>
        <w:t>sl</w:t>
      </w:r>
      <w:r>
        <w:t>) and order quantity is linked to the margin and salvage value as follows:</w:t>
      </w:r>
    </w:p>
    <w:p w:rsidR="0089367E" w:rsidRDefault="0000185F">
      <w:r w:rsidRPr="0089367E">
        <w:rPr>
          <w:position w:val="-28"/>
        </w:rPr>
        <w:object w:dxaOrig="45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33.75pt" o:ole="">
            <v:imagedata r:id="rId6" o:title=""/>
          </v:shape>
          <o:OLEObject Type="Embed" ProgID="Equation.DSMT4" ShapeID="_x0000_i1025" DrawAspect="Content" ObjectID="_1571488564" r:id="rId7"/>
        </w:object>
      </w:r>
    </w:p>
    <w:p w:rsidR="0089367E" w:rsidRDefault="0089367E">
      <w:r>
        <w:t>The results for the two products are shown in Table 1</w:t>
      </w:r>
      <w:r w:rsidR="003D71BC">
        <w:t xml:space="preserve"> (see spreadsheet </w:t>
      </w:r>
      <w:r w:rsidR="0000185F">
        <w:rPr>
          <w:i/>
        </w:rPr>
        <w:t xml:space="preserve">Winner </w:t>
      </w:r>
      <w:r w:rsidR="003D71BC">
        <w:rPr>
          <w:i/>
        </w:rPr>
        <w:t>apparel</w:t>
      </w:r>
      <w:r w:rsidR="0000185F">
        <w:rPr>
          <w:i/>
        </w:rPr>
        <w:t xml:space="preserve"> Case</w:t>
      </w:r>
      <w:r w:rsidR="0000185F">
        <w:t xml:space="preserve">, worksheet </w:t>
      </w:r>
      <w:r w:rsidR="0000185F">
        <w:rPr>
          <w:i/>
        </w:rPr>
        <w:t>Single order in season</w:t>
      </w:r>
      <w:r w:rsidR="003D71BC">
        <w:t>)</w:t>
      </w:r>
      <w:r>
        <w:t>.</w:t>
      </w:r>
    </w:p>
    <w:p w:rsidR="0089367E" w:rsidRDefault="0089367E">
      <w:r w:rsidRPr="0089367E">
        <w:rPr>
          <w:noProof/>
        </w:rPr>
        <w:drawing>
          <wp:inline distT="0" distB="0" distL="0" distR="0">
            <wp:extent cx="5943600" cy="782359"/>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943600" cy="782359"/>
                    </a:xfrm>
                    <a:prstGeom prst="rect">
                      <a:avLst/>
                    </a:prstGeom>
                    <a:noFill/>
                    <a:ln w="9525">
                      <a:noFill/>
                      <a:miter lim="800000"/>
                      <a:headEnd/>
                      <a:tailEnd/>
                    </a:ln>
                  </pic:spPr>
                </pic:pic>
              </a:graphicData>
            </a:graphic>
          </wp:inline>
        </w:drawing>
      </w:r>
    </w:p>
    <w:p w:rsidR="0089367E" w:rsidRDefault="0089367E">
      <w:r>
        <w:rPr>
          <w:b/>
        </w:rPr>
        <w:t>Table 1</w:t>
      </w:r>
      <w:r>
        <w:t xml:space="preserve">: </w:t>
      </w:r>
      <w:r w:rsidR="00837EEB">
        <w:t xml:space="preserve">Order Quantities and Financial Performance with </w:t>
      </w:r>
      <w:r w:rsidR="00514246">
        <w:t>Low-</w:t>
      </w:r>
      <w:r w:rsidR="00837EEB">
        <w:t>Cost Supplier</w:t>
      </w:r>
    </w:p>
    <w:p w:rsidR="00837EEB" w:rsidRPr="0089367E" w:rsidRDefault="00837EEB">
      <w:r>
        <w:t xml:space="preserve">Given the costs and margins, it is optimal for Winner to provide a 75% service level for the Trendy line and a 66.67% service level for the Basic line. This results in an optimal order of 568 units for Trendy and 1086 units for Basic. It seems that the </w:t>
      </w:r>
      <w:r w:rsidR="009A5517">
        <w:t>b</w:t>
      </w:r>
      <w:r>
        <w:t>uyers</w:t>
      </w:r>
      <w:r w:rsidR="009A5517">
        <w:t xml:space="preserve"> at Winner</w:t>
      </w:r>
      <w:r>
        <w:t xml:space="preserve"> were very close to the optimal numbers in terms of what they were ordering from the </w:t>
      </w:r>
      <w:r w:rsidR="007A7DEA">
        <w:t>low-</w:t>
      </w:r>
      <w:r>
        <w:t>cost supplier. Optimal ordering, however, results in an expected overstock of 205 units for Trendy and 130 units for Basic and an expected understock of over 37 units for Trendy and 44 units for Basic. In other words</w:t>
      </w:r>
      <w:r w:rsidR="007B13EB">
        <w:t>,</w:t>
      </w:r>
      <w:r>
        <w:t xml:space="preserve"> it is not surprising that W</w:t>
      </w:r>
      <w:r w:rsidR="00170820">
        <w:t>inner had surplus inventory of T</w:t>
      </w:r>
      <w:r>
        <w:t xml:space="preserve">rendy and ran out of Basic even though the “optimal” order quantity was purchased. </w:t>
      </w:r>
    </w:p>
    <w:p w:rsidR="005F496D" w:rsidRDefault="00837EEB">
      <w:r>
        <w:rPr>
          <w:i/>
        </w:rPr>
        <w:t>The Value of the</w:t>
      </w:r>
      <w:r w:rsidR="005F496D">
        <w:rPr>
          <w:i/>
        </w:rPr>
        <w:t xml:space="preserve"> Responsive Supplier</w:t>
      </w:r>
    </w:p>
    <w:p w:rsidR="005F496D" w:rsidRDefault="00542804">
      <w:r>
        <w:t>The responsive supplier can help Winner by decreasing the expected overstock and understock of its products. In the extreme case that responsiveness can eliminate all over</w:t>
      </w:r>
      <w:r w:rsidR="00522BDD">
        <w:t>-</w:t>
      </w:r>
      <w:r>
        <w:t xml:space="preserve"> </w:t>
      </w:r>
      <w:r w:rsidR="00850F28">
        <w:t>and</w:t>
      </w:r>
      <w:r>
        <w:t xml:space="preserve"> under-stock</w:t>
      </w:r>
      <w:r w:rsidR="00850F28">
        <w:t xml:space="preserve"> (across the entire season)</w:t>
      </w:r>
      <w:r>
        <w:t>, we can evaluate the maximum benefit that a responsive supplier can provide.</w:t>
      </w:r>
    </w:p>
    <w:p w:rsidR="00542804" w:rsidRDefault="00542804" w:rsidP="00542804">
      <w:bookmarkStart w:id="0" w:name="_GoBack"/>
      <w:r>
        <w:t xml:space="preserve">Maximum gain from eliminating </w:t>
      </w:r>
      <w:r w:rsidR="0000185F">
        <w:t xml:space="preserve">all </w:t>
      </w:r>
      <w:r>
        <w:t>over</w:t>
      </w:r>
      <w:r w:rsidR="00522BDD">
        <w:t>-</w:t>
      </w:r>
      <w:r>
        <w:t xml:space="preserve"> and under</w:t>
      </w:r>
      <w:r w:rsidR="00522BDD">
        <w:t>-</w:t>
      </w:r>
      <w:r>
        <w:t xml:space="preserve">stock </w:t>
      </w:r>
      <w:r w:rsidR="00850F28">
        <w:t xml:space="preserve">(over entire season) </w:t>
      </w:r>
      <w:r>
        <w:t>for Trendy = 205.44</w:t>
      </w:r>
      <w:r w:rsidR="001E7C15">
        <w:t xml:space="preserve"> </w:t>
      </w:r>
      <w:r>
        <w:t>*</w:t>
      </w:r>
      <w:r w:rsidR="001E7C15">
        <w:t xml:space="preserve"> </w:t>
      </w:r>
      <w:r>
        <w:t>(40</w:t>
      </w:r>
      <w:r w:rsidR="001E7C15">
        <w:t xml:space="preserve"> − </w:t>
      </w:r>
      <w:r>
        <w:t>20) + 37.44</w:t>
      </w:r>
      <w:r w:rsidR="001E7C15">
        <w:t xml:space="preserve"> </w:t>
      </w:r>
      <w:r>
        <w:t>*</w:t>
      </w:r>
      <w:r w:rsidR="001E7C15">
        <w:t xml:space="preserve"> </w:t>
      </w:r>
      <w:r>
        <w:t>(100</w:t>
      </w:r>
      <w:r w:rsidR="001E7C15">
        <w:t xml:space="preserve"> − </w:t>
      </w:r>
      <w:r>
        <w:t>40) = $6,356</w:t>
      </w:r>
      <w:r>
        <w:br/>
      </w:r>
      <w:r>
        <w:lastRenderedPageBreak/>
        <w:t xml:space="preserve">Maximum gain from eliminating </w:t>
      </w:r>
      <w:r w:rsidR="0000185F">
        <w:t xml:space="preserve">all </w:t>
      </w:r>
      <w:r>
        <w:t>over</w:t>
      </w:r>
      <w:r w:rsidR="003D0AAE">
        <w:t>-</w:t>
      </w:r>
      <w:r>
        <w:t xml:space="preserve"> and under</w:t>
      </w:r>
      <w:r w:rsidR="003D0AAE">
        <w:t>-</w:t>
      </w:r>
      <w:r>
        <w:t xml:space="preserve">stock </w:t>
      </w:r>
      <w:r w:rsidR="00850F28">
        <w:t xml:space="preserve">(over entire season) </w:t>
      </w:r>
      <w:r>
        <w:t>for Basic = 130.05</w:t>
      </w:r>
      <w:r w:rsidR="001F5A19">
        <w:t xml:space="preserve"> </w:t>
      </w:r>
      <w:r>
        <w:t>*</w:t>
      </w:r>
      <w:r w:rsidR="001F5A19">
        <w:t xml:space="preserve"> </w:t>
      </w:r>
      <w:r>
        <w:t>(30</w:t>
      </w:r>
      <w:r w:rsidR="001F5A19">
        <w:t xml:space="preserve"> − </w:t>
      </w:r>
      <w:r>
        <w:t>20) + 44.05</w:t>
      </w:r>
      <w:r w:rsidR="00E902BC">
        <w:t xml:space="preserve"> </w:t>
      </w:r>
      <w:r>
        <w:t>*</w:t>
      </w:r>
      <w:r w:rsidR="00E902BC">
        <w:t xml:space="preserve"> </w:t>
      </w:r>
      <w:r>
        <w:t>(50</w:t>
      </w:r>
      <w:r w:rsidR="00E902BC">
        <w:t xml:space="preserve"> − </w:t>
      </w:r>
      <w:r>
        <w:t>30) = $2,182</w:t>
      </w:r>
    </w:p>
    <w:bookmarkEnd w:id="0"/>
    <w:p w:rsidR="003F3ABB" w:rsidRDefault="003F3ABB">
      <w:r>
        <w:t>Observe that the potential gain from matching supply and demand is higher for Trendy compared to Basic. This gain becomes even larger when we consider the gain per unit sold. The higher potential gain for Trendy can be linked to the fact that Trendy has higher demand variability as measured by the coefficient of variation (standard deviation/mean).</w:t>
      </w:r>
    </w:p>
    <w:p w:rsidR="00542804" w:rsidRDefault="00542804">
      <w:r>
        <w:t xml:space="preserve">But there is a cost to responsiveness as well because the responsive supplier charges an extra </w:t>
      </w:r>
      <w:r w:rsidR="00850F28">
        <w:t>5</w:t>
      </w:r>
      <w:r>
        <w:t xml:space="preserve"> percent. Also, in reality, it will not be possible to eliminate all over</w:t>
      </w:r>
      <w:r w:rsidR="00ED4485">
        <w:t>-</w:t>
      </w:r>
      <w:r>
        <w:t xml:space="preserve"> and under-stock. Thus, the actual gains will be smaller based on the responsiveness of the supplier. In our case, the local supplier allows Winner to place an extra order in the middle of the season. The quantity and timing of the second order depends on the sales of the first. Table 2 shows an ordering policy and its impact for the first half of the season</w:t>
      </w:r>
      <w:r w:rsidR="000635B1">
        <w:t xml:space="preserve"> (see worksheet </w:t>
      </w:r>
      <w:r w:rsidR="000635B1">
        <w:rPr>
          <w:i/>
        </w:rPr>
        <w:t>Two orders in season</w:t>
      </w:r>
      <w:r w:rsidR="000635B1">
        <w:t>)</w:t>
      </w:r>
      <w:r>
        <w:t>.</w:t>
      </w:r>
    </w:p>
    <w:p w:rsidR="00542804" w:rsidRDefault="007C1489" w:rsidP="00F260F4">
      <w:pPr>
        <w:rPr>
          <w:b/>
        </w:rPr>
      </w:pPr>
      <w:r w:rsidRPr="007C1489">
        <w:rPr>
          <w:noProof/>
        </w:rPr>
        <w:drawing>
          <wp:inline distT="0" distB="0" distL="0" distR="0">
            <wp:extent cx="5943600" cy="835324"/>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5943600" cy="835324"/>
                    </a:xfrm>
                    <a:prstGeom prst="rect">
                      <a:avLst/>
                    </a:prstGeom>
                    <a:noFill/>
                    <a:ln w="9525">
                      <a:noFill/>
                      <a:miter lim="800000"/>
                      <a:headEnd/>
                      <a:tailEnd/>
                    </a:ln>
                  </pic:spPr>
                </pic:pic>
              </a:graphicData>
            </a:graphic>
          </wp:inline>
        </w:drawing>
      </w:r>
    </w:p>
    <w:p w:rsidR="00F260F4" w:rsidRDefault="00F260F4" w:rsidP="00F260F4">
      <w:r>
        <w:rPr>
          <w:b/>
        </w:rPr>
        <w:t>Table 2</w:t>
      </w:r>
      <w:r>
        <w:t xml:space="preserve">: Half Season </w:t>
      </w:r>
      <w:r w:rsidR="00542804">
        <w:t>Order, Over</w:t>
      </w:r>
      <w:r w:rsidR="001062ED">
        <w:t>-</w:t>
      </w:r>
      <w:r w:rsidR="00542804">
        <w:t xml:space="preserve"> and Under-stock</w:t>
      </w:r>
      <w:r>
        <w:t xml:space="preserve"> from Responsive Supplier</w:t>
      </w:r>
    </w:p>
    <w:p w:rsidR="00F260F4" w:rsidRDefault="00542804">
      <w:r>
        <w:t>Given the higher sourcing cost from the local supplier, Winner shou</w:t>
      </w:r>
      <w:r w:rsidR="007C1489">
        <w:t>ld aim for a service level of 72.5</w:t>
      </w:r>
      <w:r>
        <w:t xml:space="preserve"> percent for Trendy and </w:t>
      </w:r>
      <w:r w:rsidR="007C1489">
        <w:t>61</w:t>
      </w:r>
      <w:r>
        <w:t xml:space="preserve">.67 percent for Basic. Thus, </w:t>
      </w:r>
      <w:r w:rsidR="000F4B52">
        <w:t xml:space="preserve">Winner should start the first half of the season with </w:t>
      </w:r>
      <w:r w:rsidR="007C1489">
        <w:t>305</w:t>
      </w:r>
      <w:r w:rsidR="000F4B52">
        <w:t xml:space="preserve"> units of Trendy and 5</w:t>
      </w:r>
      <w:r w:rsidR="007C1489">
        <w:t>41</w:t>
      </w:r>
      <w:r w:rsidR="000F4B52">
        <w:t xml:space="preserve"> units of Basic. Such a policy will result in expected over</w:t>
      </w:r>
      <w:r w:rsidR="007864CC">
        <w:t>-</w:t>
      </w:r>
      <w:r w:rsidR="000F4B52">
        <w:t xml:space="preserve"> and under-stocking for each product as shown in Table 2. If we assume that the responsive supplier allows Winner to avoid understocking (by bringing extra product</w:t>
      </w:r>
      <w:r w:rsidR="00850F28">
        <w:t xml:space="preserve"> as a second order</w:t>
      </w:r>
      <w:r w:rsidR="000F4B52">
        <w:t xml:space="preserve"> in time) and overstocking (by allowing for a smaller </w:t>
      </w:r>
      <w:r w:rsidR="00850F28">
        <w:t xml:space="preserve">second </w:t>
      </w:r>
      <w:r w:rsidR="000F4B52">
        <w:t xml:space="preserve">order that accounts for the overstock) in the first half, Winner will aim to have </w:t>
      </w:r>
      <w:r w:rsidR="007C1489">
        <w:t>305</w:t>
      </w:r>
      <w:r w:rsidR="000F4B52">
        <w:t xml:space="preserve"> units of Trendy and 5</w:t>
      </w:r>
      <w:r w:rsidR="007C1489">
        <w:t>41</w:t>
      </w:r>
      <w:r w:rsidR="000F4B52">
        <w:t xml:space="preserve"> units of Basic to start the second half. </w:t>
      </w:r>
      <w:r w:rsidR="007C1489">
        <w:t>The second half performance will thus be as shown in Table 3.</w:t>
      </w:r>
      <w:r w:rsidR="00D94028">
        <w:t xml:space="preserve"> Observe that the actual order placed for each item in the second cycle accounts for the overstock and understock from the first cycle.</w:t>
      </w:r>
    </w:p>
    <w:p w:rsidR="000F4B52" w:rsidRDefault="000635B1">
      <w:r w:rsidRPr="000635B1">
        <w:rPr>
          <w:noProof/>
        </w:rPr>
        <w:drawing>
          <wp:inline distT="0" distB="0" distL="0" distR="0">
            <wp:extent cx="5943600" cy="10458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943600" cy="1045845"/>
                    </a:xfrm>
                    <a:prstGeom prst="rect">
                      <a:avLst/>
                    </a:prstGeom>
                  </pic:spPr>
                </pic:pic>
              </a:graphicData>
            </a:graphic>
          </wp:inline>
        </w:drawing>
      </w:r>
    </w:p>
    <w:p w:rsidR="00157680" w:rsidRDefault="00F260F4">
      <w:r>
        <w:t xml:space="preserve"> </w:t>
      </w:r>
      <w:r w:rsidR="007C1489">
        <w:rPr>
          <w:b/>
        </w:rPr>
        <w:t>Table 3</w:t>
      </w:r>
      <w:r w:rsidR="007C1489">
        <w:t>: Second Half performance Using Responsive Supplier</w:t>
      </w:r>
    </w:p>
    <w:p w:rsidR="007C1489" w:rsidRDefault="007C1489">
      <w:r>
        <w:t xml:space="preserve">We can now evaluate the best case expected profit for the two products from using the local supplier. </w:t>
      </w:r>
    </w:p>
    <w:p w:rsidR="007C1489" w:rsidRDefault="007C1489">
      <w:r>
        <w:lastRenderedPageBreak/>
        <w:t>Best case expected profit for Trendy = $6,875.16</w:t>
      </w:r>
      <w:r w:rsidR="001579CD">
        <w:t xml:space="preserve"> </w:t>
      </w:r>
      <w:r w:rsidR="00850F28">
        <w:t>{expected profit from first cycle}</w:t>
      </w:r>
      <w:r>
        <w:t xml:space="preserve"> + 135.19</w:t>
      </w:r>
      <w:r w:rsidR="001579CD">
        <w:t xml:space="preserve"> </w:t>
      </w:r>
      <w:r>
        <w:t>*</w:t>
      </w:r>
      <w:r w:rsidR="001579CD">
        <w:t xml:space="preserve"> </w:t>
      </w:r>
      <w:r>
        <w:t>(42</w:t>
      </w:r>
      <w:r w:rsidR="001579CD">
        <w:t xml:space="preserve"> − </w:t>
      </w:r>
      <w:r w:rsidR="00092006">
        <w:t>20</w:t>
      </w:r>
      <w:r>
        <w:t>)</w:t>
      </w:r>
      <w:r w:rsidR="00EE3E6A">
        <w:t xml:space="preserve"> </w:t>
      </w:r>
      <w:r>
        <w:t>{Eliminate cost of overstocking for first cycle} + 30.19</w:t>
      </w:r>
      <w:r w:rsidR="001579CD">
        <w:t xml:space="preserve"> </w:t>
      </w:r>
      <w:r>
        <w:t>*</w:t>
      </w:r>
      <w:r w:rsidR="001579CD">
        <w:t xml:space="preserve"> </w:t>
      </w:r>
      <w:r>
        <w:t>(</w:t>
      </w:r>
      <w:r w:rsidR="00092006">
        <w:t>100</w:t>
      </w:r>
      <w:r w:rsidR="001579CD">
        <w:t xml:space="preserve"> − </w:t>
      </w:r>
      <w:r>
        <w:t>42)</w:t>
      </w:r>
      <w:r w:rsidR="00F84711">
        <w:t xml:space="preserve"> </w:t>
      </w:r>
      <w:r>
        <w:t>{Eliminate cost of understocking for first cycle} + $6,</w:t>
      </w:r>
      <w:r w:rsidR="00092006">
        <w:t>875</w:t>
      </w:r>
      <w:r>
        <w:t>.</w:t>
      </w:r>
      <w:r w:rsidR="00092006">
        <w:t>16</w:t>
      </w:r>
      <w:r w:rsidR="002C3F89">
        <w:t xml:space="preserve"> </w:t>
      </w:r>
      <w:r w:rsidR="00850F28">
        <w:t>{expected profit from second cycle}</w:t>
      </w:r>
      <w:r>
        <w:t xml:space="preserve"> = $18,475.16.</w:t>
      </w:r>
    </w:p>
    <w:p w:rsidR="007C1489" w:rsidRDefault="007C1489" w:rsidP="007C1489">
      <w:r>
        <w:t>Best case expected profit for Basic = $7,635.13</w:t>
      </w:r>
      <w:r w:rsidR="0022143C">
        <w:t xml:space="preserve"> </w:t>
      </w:r>
      <w:r w:rsidR="00850F28">
        <w:t>{expected profit from first cycle}</w:t>
      </w:r>
      <w:r>
        <w:t xml:space="preserve"> + 79.11</w:t>
      </w:r>
      <w:r w:rsidR="0022143C">
        <w:t xml:space="preserve"> </w:t>
      </w:r>
      <w:r>
        <w:t>*</w:t>
      </w:r>
      <w:r w:rsidR="0022143C">
        <w:t xml:space="preserve"> </w:t>
      </w:r>
      <w:r>
        <w:t>(31.50</w:t>
      </w:r>
      <w:r w:rsidR="0022143C">
        <w:t xml:space="preserve"> − </w:t>
      </w:r>
      <w:r w:rsidR="00092006">
        <w:t>20</w:t>
      </w:r>
      <w:r>
        <w:t>)</w:t>
      </w:r>
      <w:r w:rsidR="00096E4A">
        <w:t xml:space="preserve"> </w:t>
      </w:r>
      <w:r>
        <w:t>{Eliminate cost of overstocking for first cycle} + 38.11</w:t>
      </w:r>
      <w:r w:rsidR="00096E4A">
        <w:t xml:space="preserve"> </w:t>
      </w:r>
      <w:r>
        <w:t>*</w:t>
      </w:r>
      <w:r w:rsidR="00096E4A">
        <w:t xml:space="preserve"> </w:t>
      </w:r>
      <w:r>
        <w:t>(</w:t>
      </w:r>
      <w:r w:rsidR="00092006">
        <w:t>50</w:t>
      </w:r>
      <w:r w:rsidR="00096E4A">
        <w:t xml:space="preserve"> − </w:t>
      </w:r>
      <w:r>
        <w:t>31.5)</w:t>
      </w:r>
      <w:r w:rsidR="00096E4A">
        <w:t xml:space="preserve"> </w:t>
      </w:r>
      <w:r>
        <w:t>{Eliminate cost of understocking for first cycle} + $7,635.13</w:t>
      </w:r>
      <w:r w:rsidR="00096E4A">
        <w:t xml:space="preserve"> </w:t>
      </w:r>
      <w:r w:rsidR="00850F28">
        <w:t xml:space="preserve">{expected profit from second cycle} </w:t>
      </w:r>
      <w:r>
        <w:t>= $16,885.13.</w:t>
      </w:r>
    </w:p>
    <w:p w:rsidR="007C1489" w:rsidRDefault="007C1489">
      <w:r>
        <w:t>Our results indicate that sourcing Trendy from the local supplier can increase expected profits if the local supplier is responsive enough to eliminate all over</w:t>
      </w:r>
      <w:r w:rsidR="00660C9F">
        <w:t>-</w:t>
      </w:r>
      <w:r>
        <w:t xml:space="preserve"> and under-stocking during the first cycle. For Basic T-shirts, however, the 5 percent increase in cost is too much and sourcing from the local supplier decreases expected profits even if all over</w:t>
      </w:r>
      <w:r w:rsidR="000E25D0">
        <w:t>-</w:t>
      </w:r>
      <w:r>
        <w:t xml:space="preserve"> and under-stocking during the first cycle are eliminated.</w:t>
      </w:r>
    </w:p>
    <w:p w:rsidR="007C1489" w:rsidRDefault="00971184">
      <w:r>
        <w:t>Tiffany</w:t>
      </w:r>
      <w:r w:rsidR="008B44A5">
        <w:t xml:space="preserve"> should source Trendy from the local supplier but continue with the </w:t>
      </w:r>
      <w:r w:rsidR="00420016">
        <w:t>low-</w:t>
      </w:r>
      <w:r w:rsidR="008B44A5">
        <w:t>cost supplier for Basic.</w:t>
      </w:r>
    </w:p>
    <w:p w:rsidR="003D71BC" w:rsidRPr="003D71BC" w:rsidRDefault="003D71BC">
      <w:r>
        <w:t xml:space="preserve">We also provide a simulation that provides the average results for about 340 simulations for the ordering policy outlined above. The simulation is available in the spreadsheet </w:t>
      </w:r>
      <w:r>
        <w:rPr>
          <w:i/>
        </w:rPr>
        <w:t>Chapter13</w:t>
      </w:r>
      <w:r w:rsidR="001F2411">
        <w:rPr>
          <w:i/>
        </w:rPr>
        <w:t xml:space="preserve"> Winner Apparel </w:t>
      </w:r>
      <w:r>
        <w:rPr>
          <w:i/>
        </w:rPr>
        <w:t>simulation</w:t>
      </w:r>
      <w:r>
        <w:t>.</w:t>
      </w:r>
      <w:r w:rsidR="0000185F">
        <w:t xml:space="preserve"> The expected profit using the simulation is higher than with our formula because the simulation only considers demand instances that are non-negative, </w:t>
      </w:r>
      <w:r w:rsidR="00FD7F75">
        <w:t>that is</w:t>
      </w:r>
      <w:r w:rsidR="0000185F">
        <w:t>, if the random number suggests negative demand</w:t>
      </w:r>
      <w:r w:rsidR="0046336F">
        <w:t>,</w:t>
      </w:r>
      <w:r w:rsidR="0000185F">
        <w:t xml:space="preserve"> the simulation uses 0 (a truncated normal is effectively being used in the simulation rather than a normal distribution).</w:t>
      </w:r>
    </w:p>
    <w:sectPr w:rsidR="003D71BC" w:rsidRPr="003D71BC" w:rsidSect="00356D7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7CB0" w:rsidRDefault="00177CB0" w:rsidP="00EC6261">
      <w:pPr>
        <w:spacing w:after="0" w:line="240" w:lineRule="auto"/>
      </w:pPr>
      <w:r>
        <w:separator/>
      </w:r>
    </w:p>
  </w:endnote>
  <w:endnote w:type="continuationSeparator" w:id="0">
    <w:p w:rsidR="00177CB0" w:rsidRDefault="00177CB0" w:rsidP="00EC6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261" w:rsidRPr="00056001" w:rsidRDefault="00056001" w:rsidP="00056001">
    <w:pPr>
      <w:pStyle w:val="Footer"/>
    </w:pPr>
    <w:r>
      <w:t>Copyright © 2019 Pearson Education, Inc.</w:t>
    </w:r>
    <w:r>
      <w:tab/>
    </w:r>
    <w:r>
      <w:tab/>
    </w:r>
    <w:r>
      <w:rPr>
        <w:noProof/>
      </w:rPr>
      <w:drawing>
        <wp:inline distT="0" distB="0" distL="0" distR="0" wp14:anchorId="1498552C" wp14:editId="33084736">
          <wp:extent cx="648491"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1111843_High Re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8491" cy="457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7CB0" w:rsidRDefault="00177CB0" w:rsidP="00EC6261">
      <w:pPr>
        <w:spacing w:after="0" w:line="240" w:lineRule="auto"/>
      </w:pPr>
      <w:r>
        <w:separator/>
      </w:r>
    </w:p>
  </w:footnote>
  <w:footnote w:type="continuationSeparator" w:id="0">
    <w:p w:rsidR="00177CB0" w:rsidRDefault="00177CB0" w:rsidP="00EC626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714"/>
    <w:rsid w:val="0000185F"/>
    <w:rsid w:val="00015C6F"/>
    <w:rsid w:val="00021895"/>
    <w:rsid w:val="00056001"/>
    <w:rsid w:val="000635B1"/>
    <w:rsid w:val="00092006"/>
    <w:rsid w:val="00096E4A"/>
    <w:rsid w:val="000E06AE"/>
    <w:rsid w:val="000E25D0"/>
    <w:rsid w:val="000F4B52"/>
    <w:rsid w:val="001062ED"/>
    <w:rsid w:val="001079DC"/>
    <w:rsid w:val="00157680"/>
    <w:rsid w:val="001579CD"/>
    <w:rsid w:val="00170820"/>
    <w:rsid w:val="00177CB0"/>
    <w:rsid w:val="001C432D"/>
    <w:rsid w:val="001D7F8A"/>
    <w:rsid w:val="001E7C15"/>
    <w:rsid w:val="001F2411"/>
    <w:rsid w:val="001F3AF5"/>
    <w:rsid w:val="001F5A19"/>
    <w:rsid w:val="0022143C"/>
    <w:rsid w:val="00247714"/>
    <w:rsid w:val="002C3F89"/>
    <w:rsid w:val="00302DF8"/>
    <w:rsid w:val="0033300B"/>
    <w:rsid w:val="00334E31"/>
    <w:rsid w:val="00354249"/>
    <w:rsid w:val="00356D7D"/>
    <w:rsid w:val="00366174"/>
    <w:rsid w:val="003D0AAE"/>
    <w:rsid w:val="003D71BC"/>
    <w:rsid w:val="003F3ABB"/>
    <w:rsid w:val="00411866"/>
    <w:rsid w:val="00420016"/>
    <w:rsid w:val="00462035"/>
    <w:rsid w:val="0046336F"/>
    <w:rsid w:val="004915CC"/>
    <w:rsid w:val="00493D79"/>
    <w:rsid w:val="004E4678"/>
    <w:rsid w:val="004F39C5"/>
    <w:rsid w:val="00514246"/>
    <w:rsid w:val="00522BDD"/>
    <w:rsid w:val="00524B5E"/>
    <w:rsid w:val="00533475"/>
    <w:rsid w:val="00542804"/>
    <w:rsid w:val="0055482D"/>
    <w:rsid w:val="0058255D"/>
    <w:rsid w:val="005B2639"/>
    <w:rsid w:val="005F11CD"/>
    <w:rsid w:val="005F496D"/>
    <w:rsid w:val="00660C9F"/>
    <w:rsid w:val="006846C5"/>
    <w:rsid w:val="006D01EA"/>
    <w:rsid w:val="007864CC"/>
    <w:rsid w:val="007A7DEA"/>
    <w:rsid w:val="007B13EB"/>
    <w:rsid w:val="007B3FD5"/>
    <w:rsid w:val="007C1489"/>
    <w:rsid w:val="007C2F18"/>
    <w:rsid w:val="00825FA9"/>
    <w:rsid w:val="00837EEB"/>
    <w:rsid w:val="00841CDB"/>
    <w:rsid w:val="00850F28"/>
    <w:rsid w:val="0089367E"/>
    <w:rsid w:val="008B44A5"/>
    <w:rsid w:val="008E1E39"/>
    <w:rsid w:val="008E34E6"/>
    <w:rsid w:val="009152CF"/>
    <w:rsid w:val="00971184"/>
    <w:rsid w:val="009A5517"/>
    <w:rsid w:val="009E1463"/>
    <w:rsid w:val="00A00037"/>
    <w:rsid w:val="00A002D1"/>
    <w:rsid w:val="00A24D3B"/>
    <w:rsid w:val="00A47FC3"/>
    <w:rsid w:val="00A84C43"/>
    <w:rsid w:val="00AA67A8"/>
    <w:rsid w:val="00B53440"/>
    <w:rsid w:val="00BE3BC1"/>
    <w:rsid w:val="00C55AC1"/>
    <w:rsid w:val="00CB0BE1"/>
    <w:rsid w:val="00D94028"/>
    <w:rsid w:val="00E452B9"/>
    <w:rsid w:val="00E902BC"/>
    <w:rsid w:val="00E96B4B"/>
    <w:rsid w:val="00EB2F98"/>
    <w:rsid w:val="00EC6261"/>
    <w:rsid w:val="00ED4485"/>
    <w:rsid w:val="00EE3E6A"/>
    <w:rsid w:val="00F260F4"/>
    <w:rsid w:val="00F64E35"/>
    <w:rsid w:val="00F80F7E"/>
    <w:rsid w:val="00F84711"/>
    <w:rsid w:val="00FA4A74"/>
    <w:rsid w:val="00FC71A9"/>
    <w:rsid w:val="00FD0111"/>
    <w:rsid w:val="00FD7F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F52847"/>
  <w15:docId w15:val="{09FF229E-5F7E-448D-B7FC-2B4383DB2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6D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260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9367E"/>
    <w:rPr>
      <w:color w:val="808080"/>
    </w:rPr>
  </w:style>
  <w:style w:type="paragraph" w:styleId="BalloonText">
    <w:name w:val="Balloon Text"/>
    <w:basedOn w:val="Normal"/>
    <w:link w:val="BalloonTextChar"/>
    <w:uiPriority w:val="99"/>
    <w:semiHidden/>
    <w:unhideWhenUsed/>
    <w:rsid w:val="008936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367E"/>
    <w:rPr>
      <w:rFonts w:ascii="Tahoma" w:hAnsi="Tahoma" w:cs="Tahoma"/>
      <w:sz w:val="16"/>
      <w:szCs w:val="16"/>
    </w:rPr>
  </w:style>
  <w:style w:type="paragraph" w:styleId="Header">
    <w:name w:val="header"/>
    <w:basedOn w:val="Normal"/>
    <w:link w:val="HeaderChar"/>
    <w:uiPriority w:val="99"/>
    <w:unhideWhenUsed/>
    <w:rsid w:val="00EC62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6261"/>
  </w:style>
  <w:style w:type="paragraph" w:styleId="Footer">
    <w:name w:val="footer"/>
    <w:basedOn w:val="Normal"/>
    <w:link w:val="FooterChar"/>
    <w:uiPriority w:val="99"/>
    <w:unhideWhenUsed/>
    <w:rsid w:val="00EC62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62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wmf"/></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903</Words>
  <Characters>5150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Teaching Note for Winner Apparel Case</vt:lpstr>
    </vt:vector>
  </TitlesOfParts>
  <Company>Kellogg School of Management</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Teaching Note for Winner Apparel Case</dc:title>
  <dc:subject>Supply Chain Management - 6th Edition</dc:subject>
  <dc:creator>Sunil Chopra/Jay Mabe</dc:creator>
  <cp:lastModifiedBy>Mirano, Ronel</cp:lastModifiedBy>
  <cp:revision>3</cp:revision>
  <dcterms:created xsi:type="dcterms:W3CDTF">2017-10-19T09:24:00Z</dcterms:created>
  <dcterms:modified xsi:type="dcterms:W3CDTF">2017-11-06T07:44:00Z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